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6F" w:rsidRDefault="00921E1F" w:rsidP="00DF546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                 </w:t>
      </w:r>
    </w:p>
    <w:p w:rsidR="00B67FD3" w:rsidRDefault="00B67FD3" w:rsidP="00DF546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DF546F" w:rsidP="00DF546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                               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СОВЕТ</w:t>
      </w:r>
      <w:r w:rsidR="00921E1F"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</w:t>
      </w:r>
    </w:p>
    <w:p w:rsidR="00A0033F" w:rsidRDefault="00586977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РОДНИЧКОВСКОГО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МУНИЦИПАЛЬНОГО ОБРАЗОВАНИЯ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БАЛАШОВСКОГО МУНИЦИПАЛЬНОГО РАЙОНА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САРАТОВСКОЙ ОБЛАСТИ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РЕШЕНИЕ</w:t>
      </w:r>
      <w:r>
        <w:rPr>
          <w:rFonts w:ascii="PT Astra Serif" w:eastAsia="Calibri" w:hAnsi="PT Astra Serif" w:cs="Mangal"/>
          <w:b/>
          <w:sz w:val="28"/>
          <w:szCs w:val="28"/>
        </w:rPr>
        <w:br/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от </w:t>
      </w:r>
      <w:r w:rsidR="00B67FD3">
        <w:rPr>
          <w:rFonts w:ascii="PT Astra Serif" w:eastAsia="Calibri" w:hAnsi="PT Astra Serif" w:cs="Mangal"/>
          <w:b/>
          <w:sz w:val="28"/>
          <w:szCs w:val="28"/>
        </w:rPr>
        <w:t xml:space="preserve">  17.06.2024  года  №  104-4</w:t>
      </w:r>
      <w:r>
        <w:rPr>
          <w:rFonts w:ascii="PT Astra Serif" w:eastAsia="Calibri" w:hAnsi="PT Astra Serif" w:cs="Mangal"/>
          <w:b/>
          <w:sz w:val="28"/>
          <w:szCs w:val="28"/>
        </w:rPr>
        <w:tab/>
      </w:r>
      <w:r>
        <w:rPr>
          <w:rFonts w:ascii="PT Astra Serif" w:eastAsia="Calibri" w:hAnsi="PT Astra Serif" w:cs="Mangal"/>
          <w:b/>
          <w:sz w:val="28"/>
          <w:szCs w:val="28"/>
        </w:rPr>
        <w:tab/>
        <w:t xml:space="preserve">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ab/>
        <w:t xml:space="preserve"> </w:t>
      </w:r>
      <w:r w:rsidR="00586977">
        <w:rPr>
          <w:rFonts w:ascii="PT Astra Serif" w:eastAsia="Calibri" w:hAnsi="PT Astra Serif" w:cs="Mangal"/>
          <w:b/>
          <w:sz w:val="28"/>
          <w:szCs w:val="28"/>
        </w:rPr>
        <w:t xml:space="preserve">        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</w:t>
      </w:r>
      <w:r w:rsidR="00586977">
        <w:rPr>
          <w:rFonts w:ascii="PT Astra Serif" w:eastAsia="Calibri" w:hAnsi="PT Astra Serif" w:cs="Mangal"/>
          <w:b/>
          <w:sz w:val="28"/>
          <w:szCs w:val="28"/>
        </w:rPr>
        <w:t>с. Родничок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 утверждении Положения о ведении реестра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собственности </w:t>
      </w:r>
      <w:r w:rsidR="00586977">
        <w:rPr>
          <w:rFonts w:ascii="PT Astra Serif" w:eastAsia="Times New Roman" w:hAnsi="PT Astra Serif" w:cs="Arial"/>
          <w:b/>
          <w:bCs/>
          <w:sz w:val="28"/>
          <w:szCs w:val="28"/>
        </w:rPr>
        <w:t>Родничковского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образования Балашовского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</w:t>
      </w:r>
      <w:r w:rsidR="00586977">
        <w:rPr>
          <w:rFonts w:ascii="PT Astra Serif" w:eastAsia="Times New Roman" w:hAnsi="PT Astra Serif" w:cs="Arial"/>
          <w:sz w:val="28"/>
          <w:szCs w:val="28"/>
        </w:rPr>
        <w:t xml:space="preserve">Родничковского </w:t>
      </w: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</w:t>
      </w:r>
    </w:p>
    <w:p w:rsidR="00CD657E" w:rsidRDefault="00CD657E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A0033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РЕШИЛ:</w:t>
      </w:r>
    </w:p>
    <w:p w:rsidR="00DF546F" w:rsidRDefault="00DF546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F546F" w:rsidRDefault="00DF546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A0033F" w:rsidRPr="00921E1F" w:rsidRDefault="00921E1F" w:rsidP="007C2165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Утвердить Положение о ведении реестра муниципальной собственности </w:t>
      </w:r>
      <w:r w:rsidR="00586977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согласно Приложению.</w:t>
      </w:r>
    </w:p>
    <w:p w:rsidR="00A0033F" w:rsidRDefault="00921E1F" w:rsidP="007C21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</w:t>
      </w:r>
      <w:r w:rsidR="00A0033F">
        <w:rPr>
          <w:rFonts w:ascii="PT Astra Serif" w:eastAsia="Times New Roman" w:hAnsi="PT Astra Serif" w:cs="Arial"/>
          <w:sz w:val="28"/>
          <w:szCs w:val="28"/>
        </w:rPr>
        <w:t>Настоящее решение подлежит официальному опубликованию (обнародованию).</w:t>
      </w:r>
    </w:p>
    <w:p w:rsidR="00921E1F" w:rsidRDefault="00921E1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586977" w:rsidRPr="00586977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Глава </w:t>
      </w:r>
      <w:r w:rsidR="00586977"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Родничковского </w:t>
      </w:r>
    </w:p>
    <w:p w:rsidR="00A0033F" w:rsidRPr="00586977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586977">
        <w:rPr>
          <w:rFonts w:ascii="PT Astra Serif" w:eastAsia="Times New Roman" w:hAnsi="PT Astra Serif" w:cs="Arial"/>
          <w:b/>
          <w:sz w:val="28"/>
          <w:szCs w:val="28"/>
        </w:rPr>
        <w:t>муниципального образования                         </w:t>
      </w:r>
      <w:r w:rsidR="006544A1"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        </w:t>
      </w:r>
      <w:r w:rsidR="00204496"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   </w:t>
      </w:r>
      <w:r w:rsidR="00586977">
        <w:rPr>
          <w:rFonts w:ascii="PT Astra Serif" w:eastAsia="Times New Roman" w:hAnsi="PT Astra Serif" w:cs="Arial"/>
          <w:b/>
          <w:sz w:val="28"/>
          <w:szCs w:val="28"/>
        </w:rPr>
        <w:t>    </w:t>
      </w:r>
      <w:r w:rsidRPr="00586977">
        <w:rPr>
          <w:rFonts w:ascii="PT Astra Serif" w:eastAsia="Times New Roman" w:hAnsi="PT Astra Serif" w:cs="Arial"/>
          <w:b/>
          <w:sz w:val="28"/>
          <w:szCs w:val="28"/>
        </w:rPr>
        <w:t>  </w:t>
      </w:r>
      <w:r w:rsidR="00586977">
        <w:rPr>
          <w:rFonts w:ascii="PT Astra Serif" w:eastAsia="Times New Roman" w:hAnsi="PT Astra Serif" w:cs="Arial"/>
          <w:b/>
          <w:sz w:val="28"/>
          <w:szCs w:val="28"/>
        </w:rPr>
        <w:t>С.А. Родионов</w:t>
      </w:r>
      <w:r w:rsidR="006544A1"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  </w:t>
      </w:r>
    </w:p>
    <w:p w:rsidR="00A0033F" w:rsidRPr="00586977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p w:rsidR="00586977" w:rsidRDefault="00586977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Приложение к Решению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Совета  </w:t>
      </w:r>
      <w:r w:rsidR="00586977">
        <w:rPr>
          <w:rFonts w:ascii="PT Astra Serif" w:eastAsia="Times New Roman" w:hAnsi="PT Astra Serif" w:cs="Arial"/>
        </w:rPr>
        <w:t xml:space="preserve">Родничковского </w:t>
      </w:r>
      <w:r w:rsidR="006544A1">
        <w:rPr>
          <w:rFonts w:ascii="PT Astra Serif" w:eastAsia="Times New Roman" w:hAnsi="PT Astra Serif" w:cs="Arial"/>
        </w:rPr>
        <w:t xml:space="preserve"> </w:t>
      </w:r>
      <w:r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B67FD3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>от  17.06.2024 г. № 104-4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ПОЛОЖЕНИЕ</w:t>
      </w: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 ВЕДЕНИИ РЕЕСТРА МУНИЦИПАЛЬНОЙ СОБСТВЕННОСТИ</w:t>
      </w:r>
    </w:p>
    <w:p w:rsidR="00A0033F" w:rsidRDefault="00586977" w:rsidP="00DF546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МУНИЦИПАЛЬНОГО ОБРАЗОВАНИЯ БАЛАШОВСКОГО МУНИЦИПАЛЬНОГО РАЙОНА </w:t>
      </w:r>
      <w:r w:rsidR="007C2165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>САРАТОВСКОЙ ОБЛАСТИ</w:t>
      </w:r>
    </w:p>
    <w:p w:rsidR="00A0033F" w:rsidRDefault="00A0033F" w:rsidP="00A00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ОБЩИЕ ПОЛОЖЕНИЯ</w:t>
      </w:r>
    </w:p>
    <w:p w:rsidR="00761B4D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Решения Совета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586977" w:rsidRPr="00DF546F">
        <w:rPr>
          <w:rFonts w:ascii="PT Astra Serif" w:eastAsia="Times New Roman" w:hAnsi="PT Astra Serif" w:cs="Arial"/>
          <w:sz w:val="28"/>
          <w:szCs w:val="28"/>
        </w:rPr>
        <w:t>от 08.02</w:t>
      </w:r>
      <w:r w:rsidR="006544A1" w:rsidRPr="00DF546F">
        <w:rPr>
          <w:rFonts w:ascii="PT Astra Serif" w:eastAsia="Times New Roman" w:hAnsi="PT Astra Serif" w:cs="Arial"/>
          <w:sz w:val="28"/>
          <w:szCs w:val="28"/>
        </w:rPr>
        <w:t>.2007</w:t>
      </w:r>
      <w:r w:rsidRPr="00DF546F">
        <w:rPr>
          <w:rFonts w:ascii="PT Astra Serif" w:eastAsia="Times New Roman" w:hAnsi="PT Astra Serif" w:cs="Arial"/>
          <w:sz w:val="28"/>
          <w:szCs w:val="28"/>
        </w:rPr>
        <w:t xml:space="preserve"> года № </w:t>
      </w:r>
      <w:r w:rsidR="00586977">
        <w:rPr>
          <w:rFonts w:ascii="PT Astra Serif" w:eastAsia="Times New Roman" w:hAnsi="PT Astra Serif" w:cs="Arial"/>
          <w:sz w:val="28"/>
          <w:szCs w:val="28"/>
        </w:rPr>
        <w:t>13/3</w:t>
      </w:r>
      <w:r>
        <w:rPr>
          <w:rFonts w:ascii="PT Astra Serif" w:eastAsia="Times New Roman" w:hAnsi="PT Astra Serif" w:cs="Arial"/>
          <w:sz w:val="28"/>
          <w:szCs w:val="28"/>
        </w:rPr>
        <w:t xml:space="preserve"> «Об утверждении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Положения о порядке управления и распоряжения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объектами муниципальной </w:t>
      </w:r>
      <w:r>
        <w:rPr>
          <w:rFonts w:ascii="PT Astra Serif" w:eastAsia="Times New Roman" w:hAnsi="PT Astra Serif" w:cs="Arial"/>
          <w:sz w:val="28"/>
          <w:szCs w:val="28"/>
        </w:rPr>
        <w:t xml:space="preserve">собственности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образования»</w:t>
      </w:r>
      <w:r w:rsidR="00761B4D">
        <w:rPr>
          <w:rFonts w:ascii="PT Astra Serif" w:eastAsia="Times New Roman" w:hAnsi="PT Astra Serif" w:cs="Arial"/>
          <w:sz w:val="28"/>
          <w:szCs w:val="28"/>
        </w:rPr>
        <w:t>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Документы реестров хранятся в соответствии с </w:t>
      </w:r>
      <w:hyperlink r:id="rId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от 22 октября 2004 г. № 125-ФЗ «Об архивном деле в Российской Федерации».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C2165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 xml:space="preserve">1.4. Ведение реестра осуществляется администрацией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обязана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A0033F" w:rsidRDefault="00A0033F" w:rsidP="007C2165">
      <w:pPr>
        <w:numPr>
          <w:ilvl w:val="0"/>
          <w:numId w:val="3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ОБЪЕКТЫ УЧЕТА МУНИЦПАЛЬНОЙ СОБСТВЕННОСТИ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FA70EC" w:rsidRPr="00586977">
        <w:rPr>
          <w:rFonts w:ascii="PT Astra Serif" w:eastAsia="Times New Roman" w:hAnsi="PT Astra Serif" w:cs="Arial"/>
          <w:sz w:val="28"/>
          <w:szCs w:val="28"/>
        </w:rPr>
        <w:t xml:space="preserve">от 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 xml:space="preserve"> 08.02.2007 года № 13/3</w:t>
      </w:r>
      <w:r w:rsidR="00586977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»;  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 w:rsidR="007C2165">
        <w:rPr>
          <w:rFonts w:ascii="PT Astra Serif" w:eastAsia="Times New Roman" w:hAnsi="PT Astra Serif" w:cs="Arial"/>
          <w:sz w:val="28"/>
          <w:szCs w:val="28"/>
        </w:rPr>
        <w:t xml:space="preserve">Родничковского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</w:t>
      </w:r>
      <w:r w:rsidRPr="00586977">
        <w:rPr>
          <w:rFonts w:ascii="PT Astra Serif" w:eastAsia="Times New Roman" w:hAnsi="PT Astra Serif" w:cs="Arial"/>
          <w:sz w:val="28"/>
          <w:szCs w:val="28"/>
        </w:rPr>
        <w:t xml:space="preserve">образования </w:t>
      </w:r>
      <w:r w:rsidR="00FA70EC" w:rsidRPr="00586977">
        <w:rPr>
          <w:rFonts w:ascii="PT Astra Serif" w:eastAsia="Times New Roman" w:hAnsi="PT Astra Serif" w:cs="Arial"/>
          <w:sz w:val="28"/>
          <w:szCs w:val="28"/>
        </w:rPr>
        <w:t xml:space="preserve">от 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 xml:space="preserve"> 08.02.2007 года № </w:t>
      </w:r>
      <w:r w:rsidR="00586977">
        <w:rPr>
          <w:rFonts w:ascii="PT Astra Serif" w:eastAsia="Times New Roman" w:hAnsi="PT Astra Serif" w:cs="Arial"/>
          <w:sz w:val="28"/>
          <w:szCs w:val="28"/>
        </w:rPr>
        <w:t xml:space="preserve">13/3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77E79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eastAsia="Times New Roman" w:hAnsi="PT Astra Serif" w:cs="Arial"/>
          <w:sz w:val="28"/>
          <w:szCs w:val="28"/>
        </w:rPr>
        <w:t>органом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 самостоятельно</w:t>
      </w:r>
      <w:r w:rsidRPr="0020148C">
        <w:rPr>
          <w:rFonts w:ascii="PT Astra Serif" w:eastAsia="Times New Roman" w:hAnsi="PT Astra Serif" w:cs="Arial"/>
          <w:sz w:val="28"/>
          <w:szCs w:val="28"/>
        </w:rPr>
        <w:t xml:space="preserve">, в распоряжении которого находятся сведения, отнесенные 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к государственной тайне, </w:t>
      </w:r>
      <w:r w:rsidRPr="0020148C">
        <w:rPr>
          <w:rFonts w:ascii="PT Astra Serif" w:eastAsia="Times New Roman" w:hAnsi="PT Astra Serif" w:cs="Arial"/>
          <w:sz w:val="28"/>
          <w:szCs w:val="28"/>
        </w:rPr>
        <w:t>в соответствии со </w:t>
      </w:r>
      <w:hyperlink r:id="rId6" w:history="1">
        <w:r w:rsidRPr="0020148C"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статьей 9</w:t>
        </w:r>
      </w:hyperlink>
      <w:r w:rsidRPr="0020148C">
        <w:rPr>
          <w:rFonts w:ascii="PT Astra Serif" w:eastAsia="Times New Roman" w:hAnsi="PT Astra Serif" w:cs="Arial"/>
          <w:sz w:val="28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DF546F" w:rsidRDefault="00DF546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7C2165">
      <w:pPr>
        <w:numPr>
          <w:ilvl w:val="0"/>
          <w:numId w:val="4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ФОРМИРОВАНИЯ И ВЕДЕНИЯ РЕЕСТРА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 из реестра приведен в </w:t>
      </w:r>
      <w:hyperlink r:id="rId7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приложении</w:t>
        </w:r>
      </w:hyperlink>
      <w:r>
        <w:rPr>
          <w:rFonts w:ascii="PT Astra Serif" w:eastAsia="Times New Roman" w:hAnsi="PT Astra Serif" w:cs="Arial"/>
          <w:sz w:val="28"/>
          <w:szCs w:val="28"/>
        </w:rPr>
        <w:t> к настоящему Положению.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3.4. Неотъемлемой частью реестра являются: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3.5 Реестр состоит из 3 разделов.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3.6. В раздел 1 вносятся сведения о недвижимом имуществе.</w:t>
      </w:r>
    </w:p>
    <w:p w:rsidR="00DF546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1.1 раздела 1 реестра вносятся сведения о земельных участках, в том числе</w:t>
      </w:r>
      <w:r w:rsidR="00DF546F">
        <w:rPr>
          <w:rFonts w:ascii="PT Astra Serif" w:eastAsia="Times New Roman" w:hAnsi="PT Astra Serif" w:cs="Arial"/>
          <w:sz w:val="28"/>
          <w:szCs w:val="28"/>
        </w:rPr>
        <w:t xml:space="preserve">: </w:t>
      </w: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земельного участка;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классификатора</w:t>
        </w:r>
      </w:hyperlink>
      <w:r>
        <w:rPr>
          <w:rFonts w:ascii="PT Astra Serif" w:eastAsia="Times New Roman" w:hAnsi="PT Astra Serif" w:cs="Arial"/>
          <w:sz w:val="28"/>
          <w:szCs w:val="28"/>
        </w:rPr>
        <w:t> территорий муниципальных образований (далее - ОКТМО);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земельного участка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(месту пребывания) (для физических лиц) (с указанием кода </w:t>
      </w:r>
      <w:hyperlink r:id="rId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правообладателе);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земельного участка;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произведенном улучшении земельного участка;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  <w:proofErr w:type="gramEnd"/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1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машино-местах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вид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3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регистрационный номер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судна;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сведения о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произведенных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ремонте, модернизации судна;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2 вносятся сведения о движимом и ином имуществе.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2.1 раздела 2 реестра вносятся сведения об акциях,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доля (вклад) в уставном (складочном) капитале хозяйственного общества, товарищества в процентах;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движимого имущества (иного имущества);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доли;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правообладателях;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A0033F" w:rsidRDefault="00A0033F" w:rsidP="007C2165">
      <w:pPr>
        <w:numPr>
          <w:ilvl w:val="0"/>
          <w:numId w:val="5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УЧЕТА МУНИЦИПАЛЬНОГО ИМУЩЕСТВА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4.2.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4.4. 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7" w:anchor="p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в отношении каждого объекта учета.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4.5.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4.6. Сведения об объекте учета, заявления и документы, указанные в </w:t>
      </w:r>
      <w:hyperlink r:id="rId18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пунктах </w:t>
        </w:r>
      </w:hyperlink>
      <w:r>
        <w:rPr>
          <w:rFonts w:ascii="PT Astra Serif" w:eastAsia="Times New Roman" w:hAnsi="PT Astra Serif" w:cs="Arial"/>
          <w:sz w:val="28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подписи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уполномоченным должностным лицом правообладателя.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установлены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r w:rsidR="007C2165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 принятия уполномоченным органом решения, предусмотренного </w:t>
      </w:r>
      <w:hyperlink r:id="rId19" w:anchor="p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подпунктом "в"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4.9.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4.10.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, осуществляется уполномоченным органом в порядке, установленном </w:t>
      </w:r>
      <w:hyperlink r:id="rId20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пунктами </w:t>
        </w:r>
      </w:hyperlink>
      <w:r>
        <w:rPr>
          <w:rFonts w:ascii="PT Astra Serif" w:eastAsia="Times New Roman" w:hAnsi="PT Astra Serif" w:cs="Arial"/>
          <w:sz w:val="28"/>
          <w:szCs w:val="28"/>
        </w:rPr>
        <w:t>4.1 – 4.9 настоящего Положения.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DF546F" w:rsidRPr="007C2165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numPr>
          <w:ilvl w:val="0"/>
          <w:numId w:val="6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ПРЕДОСТАВЛЕНИЕ ИНФОРМАЦИИ ИЗ РЕЕСТРА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вправе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предоставлять документы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Совета депутатов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за исключением случаев предоставления информации безвозмездно в порядке, предусмотренном </w:t>
      </w:r>
      <w:hyperlink r:id="rId21" w:anchor="p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пунктом </w:t>
        </w:r>
      </w:hyperlink>
      <w:r>
        <w:rPr>
          <w:rFonts w:ascii="PT Astra Serif" w:eastAsia="Times New Roman" w:hAnsi="PT Astra Serif" w:cs="Arial"/>
          <w:sz w:val="28"/>
          <w:szCs w:val="28"/>
        </w:rPr>
        <w:t>5.3 настоящего Положения.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A0033F" w:rsidRDefault="00A0033F" w:rsidP="007C2165">
      <w:pPr>
        <w:numPr>
          <w:ilvl w:val="0"/>
          <w:numId w:val="7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самоуправления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недостоверных сведений о муниципальной собственности или непредставление этих сведений.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6.3.Возмещение убытков, причиненных </w:t>
      </w:r>
      <w:r w:rsidR="00DF546F">
        <w:rPr>
          <w:rFonts w:ascii="PT Astra Serif" w:eastAsia="Times New Roman" w:hAnsi="PT Astra Serif" w:cs="Arial"/>
          <w:sz w:val="28"/>
          <w:szCs w:val="28"/>
        </w:rPr>
        <w:t>Родничковскому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Приложение к Положению о ведении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реестра муниципальной собственности</w:t>
      </w:r>
    </w:p>
    <w:p w:rsidR="00A0033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Родничковского</w:t>
      </w:r>
      <w:r w:rsidR="006544A1">
        <w:rPr>
          <w:rFonts w:ascii="PT Astra Serif" w:eastAsia="Times New Roman" w:hAnsi="PT Astra Serif" w:cs="Arial"/>
        </w:rPr>
        <w:t xml:space="preserve"> </w:t>
      </w:r>
      <w:r w:rsidR="00A0033F"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Балашовского муниципального района Саратовской области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  <w:b/>
          <w:bCs/>
        </w:rPr>
        <w:t> 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/>
      </w:tblPr>
      <w:tblGrid>
        <w:gridCol w:w="3502"/>
        <w:gridCol w:w="487"/>
        <w:gridCol w:w="130"/>
        <w:gridCol w:w="930"/>
        <w:gridCol w:w="636"/>
        <w:gridCol w:w="427"/>
        <w:gridCol w:w="427"/>
        <w:gridCol w:w="1001"/>
        <w:gridCol w:w="2128"/>
      </w:tblGrid>
      <w:tr w:rsidR="00A0033F" w:rsidTr="00FA70EC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 w:rsidP="007C2165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ВЫПИСКА № ____</w:t>
            </w:r>
          </w:p>
          <w:p w:rsidR="00A0033F" w:rsidRDefault="00A0033F" w:rsidP="007C2165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A0033F" w:rsidRDefault="00A0033F" w:rsidP="007C2165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 "__" ________ 20__ г.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Администрация </w:t>
            </w:r>
            <w:r w:rsidR="00DF546F" w:rsidRPr="00DF546F">
              <w:rPr>
                <w:rFonts w:ascii="PT Astra Serif" w:eastAsia="Times New Roman" w:hAnsi="PT Astra Serif" w:cs="Arial"/>
                <w:sz w:val="24"/>
                <w:szCs w:val="24"/>
              </w:rPr>
              <w:t>Родничковского</w:t>
            </w:r>
            <w:r w:rsidR="006544A1"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Заявитель _________________________________________________________________</w:t>
            </w: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gramStart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(наименование юридического лица, фамилия, имя, отчество</w:t>
            </w:r>
            <w:proofErr w:type="gramEnd"/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(при наличии) физического лица)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A0033F" w:rsidRPr="00DF546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Значения сведений</w:t>
            </w:r>
          </w:p>
        </w:tc>
      </w:tr>
      <w:tr w:rsidR="00A0033F" w:rsidRPr="00DF546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</w:p>
        </w:tc>
      </w:tr>
      <w:tr w:rsidR="00A0033F" w:rsidRPr="00DF546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A0033F" w:rsidRPr="00DF546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Дата изменения</w:t>
            </w:r>
          </w:p>
        </w:tc>
      </w:tr>
      <w:tr w:rsidR="00A0033F" w:rsidRPr="00DF546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3</w:t>
            </w:r>
          </w:p>
        </w:tc>
      </w:tr>
      <w:tr w:rsidR="00A0033F" w:rsidRPr="00DF546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--------------------------------------------------------------------------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ОТМЕТКА О ПОДТВЕРЖДЕНИИ СВЕДЕНИЙ</w:t>
            </w:r>
            <w:proofErr w:type="gramStart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,С</w:t>
            </w:r>
            <w:proofErr w:type="gramEnd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ОДЕРЖАЩИХСЯ В НАСТОЯЩЕЙ ВЫПИСКЕ</w:t>
            </w: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  <w:tr w:rsidR="00DF546F" w:rsidRPr="00DF546F" w:rsidTr="00DF546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Ответственный</w:t>
            </w:r>
          </w:p>
        </w:tc>
        <w:tc>
          <w:tcPr>
            <w:tcW w:w="4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F546F" w:rsidRPr="00DF546F" w:rsidTr="00DF546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исполнитель:            ____________          </w:t>
            </w: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(расшифровка подписи)</w:t>
            </w:r>
          </w:p>
        </w:tc>
      </w:tr>
      <w:tr w:rsidR="00A0033F" w:rsidRPr="00DF546F" w:rsidTr="00A0033F">
        <w:tc>
          <w:tcPr>
            <w:tcW w:w="0" w:type="auto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"__" ________________ 20__ г.</w:t>
            </w:r>
          </w:p>
        </w:tc>
      </w:tr>
    </w:tbl>
    <w:p w:rsidR="00E001CF" w:rsidRDefault="00E001CF" w:rsidP="007C2165"/>
    <w:sectPr w:rsidR="00E001CF" w:rsidSect="007C2165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37C5"/>
    <w:multiLevelType w:val="multilevel"/>
    <w:tmpl w:val="1194D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3F"/>
    <w:rsid w:val="00112762"/>
    <w:rsid w:val="001F4DDB"/>
    <w:rsid w:val="0020148C"/>
    <w:rsid w:val="00204496"/>
    <w:rsid w:val="00205504"/>
    <w:rsid w:val="003A2139"/>
    <w:rsid w:val="004277B4"/>
    <w:rsid w:val="00495C49"/>
    <w:rsid w:val="00586977"/>
    <w:rsid w:val="006544A1"/>
    <w:rsid w:val="00761B4D"/>
    <w:rsid w:val="007C2165"/>
    <w:rsid w:val="00921E1F"/>
    <w:rsid w:val="00A0033F"/>
    <w:rsid w:val="00A77E79"/>
    <w:rsid w:val="00B67FD3"/>
    <w:rsid w:val="00BF6D6F"/>
    <w:rsid w:val="00CD657E"/>
    <w:rsid w:val="00DF546F"/>
    <w:rsid w:val="00E001CF"/>
    <w:rsid w:val="00F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63827&amp;dst=100175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100114&amp;field=134&amp;date=26.03.2024" TargetMode="External"/><Relationship Id="rId11" Type="http://schemas.openxmlformats.org/officeDocument/2006/relationships/hyperlink" Target="https://login.consultant.ru/link/?req=doc&amp;base=LAW&amp;n=149911&amp;date=26.03.2024" TargetMode="External"/><Relationship Id="rId5" Type="http://schemas.openxmlformats.org/officeDocument/2006/relationships/hyperlink" Target="garantf1://12037300.0/" TargetMode="Externa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cp:lastPrinted>2024-06-18T13:17:00Z</cp:lastPrinted>
  <dcterms:created xsi:type="dcterms:W3CDTF">2024-04-18T10:01:00Z</dcterms:created>
  <dcterms:modified xsi:type="dcterms:W3CDTF">2024-06-18T13:19:00Z</dcterms:modified>
</cp:coreProperties>
</file>